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43"/>
                <w:szCs w:val="43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43"/>
                <w:szCs w:val="43"/>
                <w:bdr w:val="none" w:color="auto" w:sz="0" w:space="0"/>
                <w:lang w:val="en-US" w:eastAsia="zh-CN" w:bidi="ar"/>
              </w:rPr>
              <w:t>2020年度江苏省社会组织评估等级公告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900" w:lineRule="atLeast"/>
                    <w:ind w:left="0" w:right="0"/>
                    <w:jc w:val="center"/>
                    <w:rPr>
                      <w:color w:val="666666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发布日期： 2021-05-07 14:46   来源：社管局    浏览次数：995    字号：【 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"http://mzt.jiangsu.gov.cn/art/2021/5/7/javascript:doZoom(20)"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color w:val="333333"/>
                      <w:sz w:val="22"/>
                      <w:szCs w:val="22"/>
                      <w:u w:val="none"/>
                      <w:bdr w:val="none" w:color="auto" w:sz="0" w:space="0"/>
                    </w:rPr>
                    <w:t>大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"http://mzt.jiangsu.gov.cn/art/2021/5/7/javascript:doZoom(16)"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color w:val="333333"/>
                      <w:sz w:val="22"/>
                      <w:szCs w:val="22"/>
                      <w:u w:val="none"/>
                      <w:bdr w:val="none" w:color="auto" w:sz="0" w:space="0"/>
                    </w:rPr>
                    <w:t>中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"http://mzt.jiangsu.gov.cn/art/2021/5/7/javascript:doZoom(12)" </w:instrTex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6"/>
                      <w:rFonts w:ascii="宋体" w:hAnsi="宋体" w:eastAsia="宋体" w:cs="宋体"/>
                      <w:color w:val="333333"/>
                      <w:sz w:val="22"/>
                      <w:szCs w:val="22"/>
                      <w:u w:val="none"/>
                      <w:bdr w:val="none" w:color="auto" w:sz="0" w:space="0"/>
                    </w:rPr>
                    <w:t>小</w:t>
                  </w:r>
                  <w:r>
                    <w:rPr>
                      <w:rFonts w:ascii="宋体" w:hAnsi="宋体" w:eastAsia="宋体" w:cs="宋体"/>
                      <w:color w:val="333333"/>
                      <w:kern w:val="0"/>
                      <w:sz w:val="22"/>
                      <w:szCs w:val="22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color w:val="666666"/>
                      <w:kern w:val="0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 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single" w:color="EEEEEE" w:sz="6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rPr>
                      <w:color w:val="DDDDDD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5" o:spt="1" style="height:0.75pt;width:432pt;" fillcolor="#DDDDDD" filled="t" stroked="f" coordsize="21600,21600" o:hr="t" o:hrstd="t" o:hrnoshade="t" o:hralign="center">
                        <v:path/>
                        <v:fill on="t" focussize="0,0"/>
                        <v:stroke on="f"/>
                        <v:imagedata o:title=""/>
                        <o:lock v:ext="edit"/>
                        <w10:wrap type="none"/>
                        <w10:anchorlock/>
                      </v:rect>
                    </w:pic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根据民政部《社会组织评估管理办法》（中华人民共和国民政部令第39号）、江苏省民政厅《江苏省社会组织评估管理办法》（苏民规〔2010〕3号）要求，经过初评和江苏省社会组织评估委员会终评、公示，2020年度江苏省社会组织评估的相关工作已全部完成，现将评估等级予以公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righ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江苏省民政厅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righ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                               2021年5月7日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2020年度江苏省社会组织评估等级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按拼音顺序排列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一、全省性社会团体45家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5A（19家）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1.江苏省慈善总会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2.江苏省高空机械吊篮协会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3.江苏省护理学会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4.江苏省化工行业协会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5.江苏省建设教育协会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6.江苏省建筑行业协会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7.江苏省门球运动协会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8.江苏省汽车工程学会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9.江苏省汽车摩托车运动联合会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10.江苏省燃气热力协会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11.江苏省人才创新创业促进会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12.江苏省人工智能学会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13.江苏省食品添加剂和配料协会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14.江苏省新材料产业协会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15.江苏省医师协会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16.江苏省医院协会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17.江苏省印刷行业协会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18.江苏省质量协会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19.江苏省装饰装修行业协会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4A（17家）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20.江苏省壁球运动协会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21.江苏省畜牧兽医学会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22.江苏省钢铁行业协会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23.江苏省工程热物理学会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24.江苏省啦啦操运动协会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25.江苏省棋类运动协会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26.江苏省桥牌协会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27.江苏省全民阅读促进会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28.江苏省拳击运动协会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29.江苏省日用化学品行业协会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30.江苏省商业会计学会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31.江苏省社会心理学学会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32.江苏省室内环境净化行业协会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33.江苏省体育集邮协会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34.江苏省天文学会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35.江苏省田径运动协会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36.江苏省盐业协会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3A（9家）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37.江苏省棒垒球运动协会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38.江苏省陈鹤琴教育思想研究会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39.江苏省建设机械金属结构协会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40.江苏省老龄产业协会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41.江苏省生理科学学会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42.江苏省石锁运动协会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43.江苏省数学学会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44.江苏省现代金融学会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45.江苏省园艺学会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二、省属民办非企业单位5家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5A（1家）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46.西交利物浦大学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4A（3家）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47.江苏丰港保龄球俱乐部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48.江苏南洋文理研修学院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49.江苏省民诚社会组织发展中心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3A（1家）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50.江苏书人教育培训中心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三、省属基金会86家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5A（2家）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51.南京理工大学教育发展基金会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52.扬州大学教育发展基金会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4A（22家）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53.常州市见义勇为基金会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54.常州市教育发展基金会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55.常州市体育发展基金会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56.河海大学教育发展基金会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57.江苏科技大学教育发展基金会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58.江苏省瑞华慈善基金会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59.江苏省苏宁公益基金会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60.江苏师范大学教育发展基金会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61.江苏陶欣伯助学基金会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62.昆山市慈善基金会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63.南京工业大学教育发展基金会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64.南京市见义勇为基金会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65.南京中国药科大学教育发展基金会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66.南京中医药大学教育发展基金会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67.南通大学教育发展基金会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68.苏州弘化社慈善基金会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69.苏州市慈善基金会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70.苏州市党员关爱暨帮扶困难群众基金会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71.苏州市吴江区慈善基金会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72.西交利物浦大学教育发展基金会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73.盐城市见义勇为基金会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74.中国矿业大学教育发展基金会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3A（51家）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75.常熟理工学院教育发展基金会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76.常熟市慈善基金会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77.常熟市党员关爱暨帮扶困难群众基金会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78.常州齐梁慈善基金会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79.常州市新北区西夏墅慈善基金会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80.东台市慈善基金会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81.江苏秉龙慈善基金会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82.江苏昌明教育基金会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83.江苏电子信息职业学院教育发展基金会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84.江苏光彩事业基金会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85.江苏捷安特自行车文体基金会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86.江苏经贸职业技术学院教育发展基金会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87.江苏梦之蓝公益基金会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88.江苏仁医基金会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89.江苏汝立公益基金会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90.江苏软件产业人才发展基金会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91.江苏沙钢公益基金会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92.江苏省关心下一代基金会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93.江苏省华侨公益基金会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94.江苏省今世缘扶贫济困基金会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95.江苏省荣昌济困基金会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96.江苏省书香全民阅读基金会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97.江苏中大公益基金会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98.江苏中南慈善基金会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99.江苏中远助学帮老基金会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100.连云港市慈善基金会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101.连云港市海州区慈善基金会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102.南京工程学院教育发展基金会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103.南京工业大学浦江学院教育发展基金会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104.南京柯菲平公益基金会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105.南京审计大学教育发展基金会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106.南京市残疾人福利基金会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107.南京市溧水区见义勇为基金会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108.南京市六合区见义勇为基金会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109.苏州高新区慈善基金会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110.苏州工业园区慈善基金会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111.苏州公安大病特困救助基金会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112.苏州科技大学教育发展基金会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113.苏州市儿童少年基金会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114.苏州市姑苏区慈善基金会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115.苏州市青少年发展基金会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116.苏州市吴中区慈善基金会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117.苏州市相城区慈善基金会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118.太仓市慈善基金会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119.无锡职业技术学院教育发展基金会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120.新沂市教育发展基金会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121.盐城工学院教育发展基金会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122.盐城师范学院教育发展基金会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123.扬州市教育发展基金会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124.宜兴振球慈善基金会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125.张家港市慈善基金会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2A（8家）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126.江苏城乡建设职业学院教育发展基金会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127.江苏宏德文化出版基金会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128.江苏理工学院教育发展基金会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129.江苏欣乐公益基金会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130.江苏卓越国际交流教育基金会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131.昆山祥和帮困基金会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132.连云港正大天晴爱心基金会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133.南京金鹰国际慈济基金会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1A（3家）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134.江苏省扬州中学教育发展基金会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135.苏州工艺美术职业技术学院教育发展基金会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136.苏州市职业大学教育发展基金会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四、市县社会组织73家（5A）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137.南京红叶社会工作服务社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138.南京护理学会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139.南京市篮球运动协会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140.南京市润恬社会工作服务中心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141.南京市中小企业协会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142.南京水务学会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143.南京医学会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144.江阴市慈善总会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145.江阴市太极拳协会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146.无锡市机械工业联合会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147.无锡市软件行业协会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148.无锡市锡山区乐助社工事务所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149.徐州市慈善总会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150.徐州市福建商会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151.徐州市老年人体育协会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152.徐州市青年志愿者协会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153.常州市福建商会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154.常州市乒乓球协会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155.常州市侨商投资企业协会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156.常州市武进房地产业商会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157.常州市武进机械装备业商会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158.常州市武进区光彩事业促进会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159.常州市武进区青年企业家商会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160.常州市武进区医药医疗器械业商（协）会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161.常州市钟楼区天爱儿童康复中心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162.常州市众柴公益研究和发展中心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163.常州装饰装修行业协会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164.溧阳市酒业商会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165.溧阳市木兰拳健身运动协会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166.苏州工业园区中新社工事务所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167.苏州市安徽商会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168.苏州市川渝商会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169.苏州市姑苏区危险化学品行业协会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170.苏州市光电产业商会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171.苏州市民办教育协会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172.苏州市人力资源服务行业协会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173.苏州市吴江区外商投资企业协会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174.苏州市辛庄企业家商会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175.苏州市盐城商会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176.海安市建筑行业协会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177.海安市节能环保业商会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178.南通市陶行知研究会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179.南通市通信行业协会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180.南通市盐城商会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181.连云港市篮球运动协会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182.淮安市慈善总会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183.淮安市洪泽区水上百合志愿者协会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184.淮安市淮阴区惠民社会工作服务中心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185.淮安市清江浦区心苑社会工作服务社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186.淮安市清江浦区阳光心理服务中心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187.涟水县慈善总会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188.东台市心连心志愿者协会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189.盐城市心灵绿洲心理服务中心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190.盐城市浙江商会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191.扬州市慈善总会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192.扬州市冬泳协会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193.扬州市体育文化交流协会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194.扬州市长跑协会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195.宝应县立责社工服务社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196.仪征市武术协会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197.丹阳市老年公寓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198.镇江南通商会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199.镇江市保险行业协会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200.镇江市餐饮服务行业协会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201.镇江市润州区康乃馨惠民服务中心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202.靖江市家有儿女爱心志愿者协会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203.泰州市常吾堂职业培训学校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204.泰州市电力行业协会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205.泰州市阳光心理服务中心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206.泰州市医学会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207.泰州市中小企业协会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208.宿迁市欣语未成年人成长指导中心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209.宿迁市泽宇公益事业发展中心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320B7"/>
    <w:rsid w:val="29B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2021-05-13T02:57:00Z</dcterms:created>
  <dc:creator>筱荷</dc:creator>
  <cp:lastModifiedBy>筱荷</cp:lastModifiedBy>
  <dcterms:modified xsi:type="dcterms:W3CDTF">2021-05-13T02:58:27Z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0B2D9EEF23574A278B6914CA65C1E322</vt:lpwstr>
  </property>
</Properties>
</file>